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D52CA" w14:textId="77777777" w:rsidR="003F38C7" w:rsidRDefault="003F38C7" w:rsidP="003F38C7">
      <w:pPr>
        <w:jc w:val="right"/>
      </w:pPr>
      <w:r>
        <w:t>Nodrošinājuma valsts aģentūras</w:t>
      </w:r>
    </w:p>
    <w:p w14:paraId="529DD4D7" w14:textId="77777777" w:rsidR="003F38C7" w:rsidRDefault="003F38C7" w:rsidP="003F38C7">
      <w:pPr>
        <w:jc w:val="right"/>
      </w:pPr>
      <w:r>
        <w:t>Transportlīdzekļu realizācijas komisijai,</w:t>
      </w:r>
    </w:p>
    <w:p w14:paraId="0BFB248F" w14:textId="77777777" w:rsidR="003F38C7" w:rsidRDefault="003F38C7" w:rsidP="003F38C7">
      <w:pPr>
        <w:jc w:val="right"/>
      </w:pPr>
      <w:r>
        <w:t>Čiekurkalna 1.līnija 1, k-2, Rīga, LV -1026</w:t>
      </w:r>
    </w:p>
    <w:p w14:paraId="3CB63D5E" w14:textId="77777777" w:rsidR="003F38C7" w:rsidRDefault="003F38C7" w:rsidP="003F38C7">
      <w:pPr>
        <w:jc w:val="right"/>
      </w:pPr>
    </w:p>
    <w:p w14:paraId="365D1A90" w14:textId="03466286" w:rsidR="004959FB" w:rsidRDefault="004959FB" w:rsidP="004959FB">
      <w:pPr>
        <w:jc w:val="right"/>
      </w:pPr>
      <w:r>
        <w:t>No _______</w:t>
      </w:r>
    </w:p>
    <w:p w14:paraId="2CD0D0DE" w14:textId="77777777" w:rsidR="004959FB" w:rsidRPr="00956CE0" w:rsidRDefault="004959FB" w:rsidP="004959FB">
      <w:pPr>
        <w:jc w:val="right"/>
        <w:rPr>
          <w:sz w:val="16"/>
          <w:szCs w:val="16"/>
        </w:rPr>
      </w:pPr>
      <w:r w:rsidRPr="00956CE0">
        <w:rPr>
          <w:sz w:val="16"/>
          <w:szCs w:val="16"/>
        </w:rPr>
        <w:t>(fiziskās personas vārds, uzvārds/ juridiskās personas nosaukums)</w:t>
      </w:r>
    </w:p>
    <w:p w14:paraId="61E9A438" w14:textId="3E3E5DE3" w:rsidR="004959FB" w:rsidRPr="00956CE0" w:rsidRDefault="004959FB" w:rsidP="004959FB">
      <w:pPr>
        <w:jc w:val="right"/>
      </w:pPr>
      <w:r w:rsidRPr="00956CE0">
        <w:t>__________________</w:t>
      </w:r>
    </w:p>
    <w:p w14:paraId="5B4DF4CC" w14:textId="77777777" w:rsidR="004959FB" w:rsidRPr="00956CE0" w:rsidRDefault="004959FB" w:rsidP="004959FB">
      <w:pPr>
        <w:jc w:val="right"/>
        <w:rPr>
          <w:sz w:val="16"/>
          <w:szCs w:val="16"/>
        </w:rPr>
      </w:pPr>
      <w:r w:rsidRPr="00956CE0">
        <w:t xml:space="preserve"> </w:t>
      </w:r>
      <w:r w:rsidRPr="00956CE0">
        <w:rPr>
          <w:sz w:val="16"/>
          <w:szCs w:val="16"/>
        </w:rPr>
        <w:t>(</w:t>
      </w:r>
      <w:r w:rsidR="00654E3E" w:rsidRPr="00956CE0">
        <w:rPr>
          <w:sz w:val="16"/>
          <w:szCs w:val="16"/>
        </w:rPr>
        <w:t>personas kods</w:t>
      </w:r>
      <w:r w:rsidR="00E16547" w:rsidRPr="00956CE0">
        <w:rPr>
          <w:sz w:val="16"/>
          <w:szCs w:val="16"/>
        </w:rPr>
        <w:t xml:space="preserve"> (fiziskai personai)</w:t>
      </w:r>
      <w:r w:rsidR="00654E3E" w:rsidRPr="00956CE0">
        <w:rPr>
          <w:sz w:val="16"/>
          <w:szCs w:val="16"/>
        </w:rPr>
        <w:t xml:space="preserve">/ </w:t>
      </w:r>
      <w:r w:rsidRPr="00956CE0">
        <w:rPr>
          <w:sz w:val="16"/>
          <w:szCs w:val="16"/>
        </w:rPr>
        <w:t>reģistrācijas numurs</w:t>
      </w:r>
      <w:r w:rsidR="00E16547" w:rsidRPr="00956CE0">
        <w:rPr>
          <w:sz w:val="16"/>
          <w:szCs w:val="16"/>
        </w:rPr>
        <w:t xml:space="preserve"> (juridiskai personai</w:t>
      </w:r>
      <w:r w:rsidRPr="00956CE0">
        <w:rPr>
          <w:sz w:val="16"/>
          <w:szCs w:val="16"/>
        </w:rPr>
        <w:t>)</w:t>
      </w:r>
      <w:r w:rsidR="00E16547" w:rsidRPr="00956CE0">
        <w:rPr>
          <w:sz w:val="16"/>
          <w:szCs w:val="16"/>
        </w:rPr>
        <w:t>)</w:t>
      </w:r>
    </w:p>
    <w:p w14:paraId="58B52AFF" w14:textId="16122951" w:rsidR="004959FB" w:rsidRDefault="00512575" w:rsidP="004959FB">
      <w:pPr>
        <w:jc w:val="right"/>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w:t>
      </w:r>
      <w:r w:rsidR="00B23E93">
        <w:t>__</w:t>
      </w:r>
      <w:r w:rsidR="00950449">
        <w:t>.</w:t>
      </w:r>
      <w:r w:rsidR="004959FB" w:rsidRPr="00956CE0">
        <w:t>_</w:t>
      </w:r>
    </w:p>
    <w:p w14:paraId="393F6043" w14:textId="77777777" w:rsidR="004959FB" w:rsidRDefault="004959FB" w:rsidP="004959FB">
      <w:pPr>
        <w:jc w:val="right"/>
        <w:rPr>
          <w:sz w:val="16"/>
          <w:szCs w:val="16"/>
        </w:rPr>
      </w:pPr>
      <w:r>
        <w:t xml:space="preserve"> </w:t>
      </w:r>
      <w:r>
        <w:rPr>
          <w:sz w:val="16"/>
          <w:szCs w:val="16"/>
        </w:rPr>
        <w:t>(adrese)</w:t>
      </w:r>
    </w:p>
    <w:p w14:paraId="4F5CCC32" w14:textId="0B7F9049" w:rsidR="004959FB" w:rsidRDefault="00512575" w:rsidP="00512575">
      <w:pPr>
        <w:jc w:val="right"/>
      </w:pPr>
      <w:r>
        <w:t>____________________</w:t>
      </w:r>
      <w:r w:rsidR="004959FB">
        <w:t>__</w:t>
      </w:r>
    </w:p>
    <w:p w14:paraId="36127C8C" w14:textId="77777777" w:rsidR="004959FB" w:rsidRDefault="004959FB" w:rsidP="004959FB">
      <w:pPr>
        <w:jc w:val="right"/>
        <w:rPr>
          <w:sz w:val="16"/>
          <w:szCs w:val="16"/>
        </w:rPr>
      </w:pPr>
      <w:r w:rsidRPr="00772386">
        <w:rPr>
          <w:sz w:val="16"/>
          <w:szCs w:val="16"/>
        </w:rPr>
        <w:t>(tālrunis</w:t>
      </w:r>
      <w:r>
        <w:rPr>
          <w:sz w:val="16"/>
          <w:szCs w:val="16"/>
        </w:rPr>
        <w:t>, e-pasts</w:t>
      </w:r>
      <w:r w:rsidRPr="00772386">
        <w:rPr>
          <w:sz w:val="16"/>
          <w:szCs w:val="16"/>
        </w:rPr>
        <w:t>)</w:t>
      </w:r>
    </w:p>
    <w:p w14:paraId="7E40CD4A" w14:textId="77777777" w:rsidR="003F38C7" w:rsidRDefault="003F38C7" w:rsidP="003F38C7">
      <w:pPr>
        <w:jc w:val="right"/>
        <w:rPr>
          <w:sz w:val="16"/>
          <w:szCs w:val="16"/>
        </w:rPr>
      </w:pPr>
    </w:p>
    <w:p w14:paraId="17108633" w14:textId="77777777" w:rsidR="003F38C7" w:rsidRPr="005956AE" w:rsidRDefault="003F38C7" w:rsidP="003F38C7">
      <w:pPr>
        <w:jc w:val="center"/>
        <w:rPr>
          <w:b/>
        </w:rPr>
      </w:pPr>
      <w:r>
        <w:rPr>
          <w:b/>
        </w:rPr>
        <w:t>i</w:t>
      </w:r>
      <w:r w:rsidRPr="005956AE">
        <w:rPr>
          <w:b/>
        </w:rPr>
        <w:t>esniegums</w:t>
      </w:r>
    </w:p>
    <w:p w14:paraId="6FF8FECF" w14:textId="77777777" w:rsidR="003F38C7" w:rsidRPr="00A06847" w:rsidRDefault="003F38C7" w:rsidP="003F38C7">
      <w:pPr>
        <w:jc w:val="center"/>
      </w:pPr>
    </w:p>
    <w:p w14:paraId="508891B8" w14:textId="5F7BE6FA" w:rsidR="00CD0987" w:rsidRDefault="00512575" w:rsidP="003F38C7">
      <w:pPr>
        <w:tabs>
          <w:tab w:val="left" w:pos="7230"/>
        </w:tabs>
        <w:jc w:val="both"/>
      </w:pPr>
      <w:r>
        <w:t>____</w:t>
      </w:r>
      <w:r w:rsidR="003F38C7">
        <w:t xml:space="preserve">.gada </w:t>
      </w:r>
      <w:r>
        <w:t xml:space="preserve">___. </w:t>
      </w:r>
      <w:r w:rsidR="00CD0987">
        <w:t>novembrī</w:t>
      </w:r>
      <w:r w:rsidR="003F38C7">
        <w:t>____</w:t>
      </w:r>
    </w:p>
    <w:p w14:paraId="3E543273" w14:textId="2E63347B" w:rsidR="003F38C7" w:rsidRDefault="003F38C7" w:rsidP="00E00AD4">
      <w:pPr>
        <w:tabs>
          <w:tab w:val="left" w:pos="7230"/>
        </w:tabs>
        <w:ind w:left="1440"/>
        <w:jc w:val="right"/>
      </w:pPr>
      <w:r>
        <w:t>__________</w:t>
      </w:r>
    </w:p>
    <w:p w14:paraId="3F204B28" w14:textId="77777777" w:rsidR="003F38C7" w:rsidRDefault="003F38C7" w:rsidP="00E00AD4">
      <w:pPr>
        <w:jc w:val="right"/>
        <w:rPr>
          <w:sz w:val="16"/>
          <w:szCs w:val="16"/>
        </w:rPr>
      </w:pPr>
      <w:r w:rsidRPr="00772386">
        <w:rPr>
          <w:sz w:val="16"/>
          <w:szCs w:val="16"/>
        </w:rPr>
        <w:t>(vieta)</w:t>
      </w:r>
    </w:p>
    <w:p w14:paraId="54F00E27" w14:textId="77777777" w:rsidR="003F38C7" w:rsidRDefault="003F38C7" w:rsidP="003F38C7">
      <w:pPr>
        <w:jc w:val="right"/>
      </w:pPr>
    </w:p>
    <w:p w14:paraId="185BD918" w14:textId="11D40D47" w:rsidR="003F38C7" w:rsidRPr="00EF3C3C" w:rsidRDefault="003F38C7" w:rsidP="007B1676">
      <w:pPr>
        <w:ind w:firstLine="720"/>
        <w:jc w:val="both"/>
        <w:rPr>
          <w:spacing w:val="-2"/>
        </w:rPr>
      </w:pPr>
      <w:r>
        <w:t>Atsaucoties uz Nodrošinājuma valsts aģentūras</w:t>
      </w:r>
      <w:r w:rsidRPr="00D476CB">
        <w:t xml:space="preserve"> </w:t>
      </w:r>
      <w:r w:rsidR="007B1676">
        <w:t>tīmekļa vietnē</w:t>
      </w:r>
      <w:r w:rsidR="00C73B81" w:rsidRPr="00C73B81">
        <w:t xml:space="preserve"> </w:t>
      </w:r>
      <w:r w:rsidR="00C73B81">
        <w:t>publicēto informāciju</w:t>
      </w:r>
      <w:r w:rsidRPr="00D476CB">
        <w:t xml:space="preserve">, </w:t>
      </w:r>
      <w:r w:rsidRPr="00EF3C3C">
        <w:rPr>
          <w:spacing w:val="-2"/>
        </w:rPr>
        <w:t>izsaku šādu piedāvājumu par ____</w:t>
      </w:r>
      <w:r w:rsidR="00517BFE">
        <w:rPr>
          <w:spacing w:val="-2"/>
        </w:rPr>
        <w:t>.</w:t>
      </w:r>
      <w:r w:rsidRPr="00EF3C3C">
        <w:rPr>
          <w:spacing w:val="-2"/>
        </w:rPr>
        <w:t>realizācijā iekļauto transportlīdzekli</w:t>
      </w:r>
      <w:r w:rsidR="00C12B63">
        <w:rPr>
          <w:spacing w:val="-2"/>
        </w:rPr>
        <w:t xml:space="preserve"> </w:t>
      </w:r>
      <w:r w:rsidRPr="00EF3C3C">
        <w:rPr>
          <w:spacing w:val="-2"/>
        </w:rPr>
        <w:t>/transportlīdzekļiem,</w:t>
      </w:r>
    </w:p>
    <w:p w14:paraId="16A428EA" w14:textId="77777777" w:rsidR="003F38C7" w:rsidRPr="00D476CB" w:rsidRDefault="003F38C7" w:rsidP="003F38C7">
      <w:pPr>
        <w:jc w:val="both"/>
      </w:pPr>
      <w:r w:rsidRPr="00D476CB">
        <w:t>kas pieņemts</w:t>
      </w:r>
      <w:r>
        <w:t>/</w:t>
      </w:r>
      <w:r w:rsidRPr="00D476CB">
        <w:t>pieņemti un uzska</w:t>
      </w:r>
      <w:r w:rsidR="00D50E39">
        <w:t>i</w:t>
      </w:r>
      <w:r w:rsidRPr="00D476CB">
        <w:t>tīts</w:t>
      </w:r>
      <w:r>
        <w:t>/</w:t>
      </w:r>
      <w:r w:rsidRPr="00D476CB">
        <w:t>uzskaitīti aģentūrā</w:t>
      </w:r>
      <w:r>
        <w:t xml:space="preserve"> un nodots/nodoti glabāšanai:</w:t>
      </w:r>
    </w:p>
    <w:p w14:paraId="32C25F84" w14:textId="77777777" w:rsidR="003F38C7" w:rsidRDefault="003F38C7" w:rsidP="003F38C7">
      <w:pPr>
        <w:jc w:val="both"/>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2736"/>
        <w:gridCol w:w="1596"/>
        <w:gridCol w:w="2052"/>
        <w:gridCol w:w="1254"/>
        <w:gridCol w:w="1140"/>
      </w:tblGrid>
      <w:tr w:rsidR="003F38C7" w14:paraId="2AD02DFB" w14:textId="77777777">
        <w:tc>
          <w:tcPr>
            <w:tcW w:w="678" w:type="dxa"/>
            <w:shd w:val="clear" w:color="auto" w:fill="auto"/>
            <w:vAlign w:val="center"/>
          </w:tcPr>
          <w:p w14:paraId="65D721DE" w14:textId="77777777" w:rsidR="003F38C7" w:rsidRPr="00511A4E" w:rsidRDefault="003F38C7" w:rsidP="003F38C7">
            <w:pPr>
              <w:ind w:left="-57" w:right="-108"/>
              <w:jc w:val="center"/>
              <w:rPr>
                <w:sz w:val="20"/>
                <w:szCs w:val="20"/>
              </w:rPr>
            </w:pPr>
          </w:p>
          <w:p w14:paraId="093B3677" w14:textId="77777777" w:rsidR="003F38C7" w:rsidRPr="00511A4E" w:rsidRDefault="003F38C7" w:rsidP="003F38C7">
            <w:pPr>
              <w:ind w:left="-57" w:right="-108"/>
              <w:jc w:val="center"/>
              <w:rPr>
                <w:sz w:val="20"/>
                <w:szCs w:val="20"/>
              </w:rPr>
            </w:pPr>
            <w:r w:rsidRPr="00511A4E">
              <w:rPr>
                <w:sz w:val="20"/>
                <w:szCs w:val="20"/>
              </w:rPr>
              <w:t>Kārtas Nr.</w:t>
            </w:r>
          </w:p>
        </w:tc>
        <w:tc>
          <w:tcPr>
            <w:tcW w:w="2736" w:type="dxa"/>
            <w:shd w:val="clear" w:color="auto" w:fill="auto"/>
            <w:vAlign w:val="center"/>
          </w:tcPr>
          <w:p w14:paraId="3FA52D86" w14:textId="77777777" w:rsidR="003F38C7" w:rsidRPr="00511A4E" w:rsidRDefault="003F38C7" w:rsidP="003F38C7">
            <w:pPr>
              <w:jc w:val="center"/>
              <w:rPr>
                <w:sz w:val="20"/>
                <w:szCs w:val="20"/>
              </w:rPr>
            </w:pPr>
            <w:r w:rsidRPr="00511A4E">
              <w:rPr>
                <w:sz w:val="20"/>
                <w:szCs w:val="20"/>
              </w:rPr>
              <w:t>Paziņojumā norādītā transportlīdzekļa atrašanās vieta</w:t>
            </w:r>
          </w:p>
          <w:p w14:paraId="3ED053A8" w14:textId="77777777" w:rsidR="003F38C7" w:rsidRPr="00511A4E" w:rsidRDefault="003F38C7" w:rsidP="003F38C7">
            <w:pPr>
              <w:jc w:val="center"/>
              <w:rPr>
                <w:sz w:val="20"/>
                <w:szCs w:val="20"/>
              </w:rPr>
            </w:pPr>
            <w:r w:rsidRPr="00511A4E">
              <w:rPr>
                <w:sz w:val="20"/>
                <w:szCs w:val="20"/>
              </w:rPr>
              <w:t>(Stāvlaukuma turētāja nosaukums un adrese)</w:t>
            </w:r>
          </w:p>
        </w:tc>
        <w:tc>
          <w:tcPr>
            <w:tcW w:w="1596" w:type="dxa"/>
            <w:shd w:val="clear" w:color="auto" w:fill="auto"/>
            <w:vAlign w:val="center"/>
          </w:tcPr>
          <w:p w14:paraId="59263609" w14:textId="77777777" w:rsidR="003F38C7" w:rsidRPr="00511A4E" w:rsidRDefault="003F38C7" w:rsidP="003F38C7">
            <w:pPr>
              <w:jc w:val="center"/>
              <w:rPr>
                <w:sz w:val="20"/>
                <w:szCs w:val="20"/>
              </w:rPr>
            </w:pPr>
            <w:r w:rsidRPr="00511A4E">
              <w:rPr>
                <w:sz w:val="20"/>
                <w:szCs w:val="20"/>
              </w:rPr>
              <w:t>Transport-līdzekļa valsts reģistrācijas Nr.</w:t>
            </w:r>
          </w:p>
        </w:tc>
        <w:tc>
          <w:tcPr>
            <w:tcW w:w="2052" w:type="dxa"/>
            <w:shd w:val="clear" w:color="auto" w:fill="auto"/>
            <w:vAlign w:val="center"/>
          </w:tcPr>
          <w:p w14:paraId="29F3E797" w14:textId="77777777" w:rsidR="003F38C7" w:rsidRPr="00511A4E" w:rsidRDefault="003F38C7" w:rsidP="003F38C7">
            <w:pPr>
              <w:jc w:val="center"/>
              <w:rPr>
                <w:sz w:val="20"/>
                <w:szCs w:val="20"/>
              </w:rPr>
            </w:pPr>
            <w:r w:rsidRPr="00511A4E">
              <w:rPr>
                <w:sz w:val="20"/>
                <w:szCs w:val="20"/>
              </w:rPr>
              <w:t>Transportlīdzekļa marka</w:t>
            </w:r>
          </w:p>
        </w:tc>
        <w:tc>
          <w:tcPr>
            <w:tcW w:w="1254" w:type="dxa"/>
            <w:shd w:val="clear" w:color="auto" w:fill="auto"/>
            <w:vAlign w:val="center"/>
          </w:tcPr>
          <w:p w14:paraId="0D084A0D" w14:textId="77777777" w:rsidR="003F38C7" w:rsidRPr="00511A4E" w:rsidRDefault="003F38C7" w:rsidP="003F38C7">
            <w:pPr>
              <w:jc w:val="center"/>
              <w:rPr>
                <w:sz w:val="20"/>
                <w:szCs w:val="20"/>
              </w:rPr>
            </w:pPr>
            <w:r w:rsidRPr="00511A4E">
              <w:rPr>
                <w:sz w:val="20"/>
                <w:szCs w:val="20"/>
              </w:rPr>
              <w:t>Transport</w:t>
            </w:r>
            <w:r w:rsidRPr="00511A4E">
              <w:rPr>
                <w:sz w:val="20"/>
                <w:szCs w:val="20"/>
              </w:rPr>
              <w:softHyphen/>
              <w:t>līdzekļa izlaiduma gads</w:t>
            </w:r>
          </w:p>
        </w:tc>
        <w:tc>
          <w:tcPr>
            <w:tcW w:w="1140" w:type="dxa"/>
            <w:shd w:val="clear" w:color="auto" w:fill="auto"/>
            <w:vAlign w:val="center"/>
          </w:tcPr>
          <w:p w14:paraId="120D7F0F" w14:textId="77777777" w:rsidR="003F38C7" w:rsidRPr="00511A4E" w:rsidRDefault="003F38C7" w:rsidP="003F38C7">
            <w:pPr>
              <w:jc w:val="center"/>
              <w:rPr>
                <w:sz w:val="20"/>
                <w:szCs w:val="20"/>
              </w:rPr>
            </w:pPr>
            <w:r w:rsidRPr="00511A4E">
              <w:rPr>
                <w:sz w:val="20"/>
                <w:szCs w:val="20"/>
              </w:rPr>
              <w:t>Finanšu piedāvā</w:t>
            </w:r>
            <w:r w:rsidRPr="00511A4E">
              <w:rPr>
                <w:sz w:val="20"/>
                <w:szCs w:val="20"/>
              </w:rPr>
              <w:softHyphen/>
              <w:t xml:space="preserve">jums, </w:t>
            </w:r>
            <w:proofErr w:type="spellStart"/>
            <w:r w:rsidRPr="00511A4E">
              <w:rPr>
                <w:i/>
                <w:sz w:val="20"/>
                <w:szCs w:val="20"/>
              </w:rPr>
              <w:t>euro</w:t>
            </w:r>
            <w:proofErr w:type="spellEnd"/>
          </w:p>
        </w:tc>
      </w:tr>
      <w:tr w:rsidR="003F38C7" w:rsidRPr="00EF3C3C" w14:paraId="1DEDF12A" w14:textId="77777777">
        <w:tc>
          <w:tcPr>
            <w:tcW w:w="678" w:type="dxa"/>
            <w:shd w:val="clear" w:color="auto" w:fill="auto"/>
          </w:tcPr>
          <w:p w14:paraId="0F80AD42" w14:textId="74B5914B" w:rsidR="003F38C7" w:rsidRDefault="003F38C7" w:rsidP="003F38C7">
            <w:bookmarkStart w:id="0" w:name="_GoBack"/>
            <w:bookmarkEnd w:id="0"/>
          </w:p>
        </w:tc>
        <w:tc>
          <w:tcPr>
            <w:tcW w:w="2736" w:type="dxa"/>
            <w:shd w:val="clear" w:color="auto" w:fill="auto"/>
          </w:tcPr>
          <w:p w14:paraId="568383DC" w14:textId="0F0E0A21" w:rsidR="003F38C7" w:rsidRDefault="003F38C7" w:rsidP="003F38C7"/>
        </w:tc>
        <w:tc>
          <w:tcPr>
            <w:tcW w:w="1596" w:type="dxa"/>
            <w:shd w:val="clear" w:color="auto" w:fill="auto"/>
          </w:tcPr>
          <w:p w14:paraId="0E666252" w14:textId="28A74358" w:rsidR="003F38C7" w:rsidRDefault="003F38C7" w:rsidP="003F38C7"/>
        </w:tc>
        <w:tc>
          <w:tcPr>
            <w:tcW w:w="2052" w:type="dxa"/>
            <w:shd w:val="clear" w:color="auto" w:fill="auto"/>
          </w:tcPr>
          <w:p w14:paraId="08D69DA3" w14:textId="33CF5904" w:rsidR="003F38C7" w:rsidRDefault="003F38C7" w:rsidP="003F38C7"/>
        </w:tc>
        <w:tc>
          <w:tcPr>
            <w:tcW w:w="1254" w:type="dxa"/>
            <w:shd w:val="clear" w:color="auto" w:fill="auto"/>
          </w:tcPr>
          <w:p w14:paraId="2C6A3262" w14:textId="3496C452" w:rsidR="003F38C7" w:rsidRDefault="003F38C7" w:rsidP="003F38C7"/>
        </w:tc>
        <w:tc>
          <w:tcPr>
            <w:tcW w:w="1140" w:type="dxa"/>
            <w:shd w:val="clear" w:color="auto" w:fill="auto"/>
          </w:tcPr>
          <w:p w14:paraId="011BADFA" w14:textId="16F65DC6" w:rsidR="003F38C7" w:rsidRDefault="003F38C7" w:rsidP="003F38C7"/>
        </w:tc>
      </w:tr>
      <w:tr w:rsidR="003F38C7" w:rsidRPr="00EF3C3C" w14:paraId="0B4AF913" w14:textId="77777777">
        <w:tc>
          <w:tcPr>
            <w:tcW w:w="678" w:type="dxa"/>
            <w:shd w:val="clear" w:color="auto" w:fill="auto"/>
          </w:tcPr>
          <w:p w14:paraId="4C49AB94" w14:textId="77777777" w:rsidR="003F38C7" w:rsidRDefault="003F38C7" w:rsidP="003F38C7"/>
        </w:tc>
        <w:tc>
          <w:tcPr>
            <w:tcW w:w="2736" w:type="dxa"/>
            <w:shd w:val="clear" w:color="auto" w:fill="auto"/>
          </w:tcPr>
          <w:p w14:paraId="41483182" w14:textId="77777777" w:rsidR="003F38C7" w:rsidRDefault="003F38C7" w:rsidP="003F38C7">
            <w:pPr>
              <w:jc w:val="both"/>
            </w:pPr>
          </w:p>
        </w:tc>
        <w:tc>
          <w:tcPr>
            <w:tcW w:w="1596" w:type="dxa"/>
            <w:shd w:val="clear" w:color="auto" w:fill="auto"/>
          </w:tcPr>
          <w:p w14:paraId="09A01734" w14:textId="77777777" w:rsidR="003F38C7" w:rsidRDefault="003F38C7" w:rsidP="003F38C7">
            <w:pPr>
              <w:jc w:val="both"/>
            </w:pPr>
          </w:p>
        </w:tc>
        <w:tc>
          <w:tcPr>
            <w:tcW w:w="2052" w:type="dxa"/>
            <w:shd w:val="clear" w:color="auto" w:fill="auto"/>
          </w:tcPr>
          <w:p w14:paraId="5DA6EA99" w14:textId="77777777" w:rsidR="003F38C7" w:rsidRDefault="003F38C7" w:rsidP="003F38C7">
            <w:pPr>
              <w:jc w:val="both"/>
            </w:pPr>
          </w:p>
        </w:tc>
        <w:tc>
          <w:tcPr>
            <w:tcW w:w="1254" w:type="dxa"/>
            <w:shd w:val="clear" w:color="auto" w:fill="auto"/>
          </w:tcPr>
          <w:p w14:paraId="6782DF13" w14:textId="77777777" w:rsidR="003F38C7" w:rsidRDefault="003F38C7" w:rsidP="003F38C7">
            <w:pPr>
              <w:jc w:val="both"/>
            </w:pPr>
          </w:p>
        </w:tc>
        <w:tc>
          <w:tcPr>
            <w:tcW w:w="1140" w:type="dxa"/>
            <w:shd w:val="clear" w:color="auto" w:fill="auto"/>
          </w:tcPr>
          <w:p w14:paraId="22B4C088" w14:textId="77777777" w:rsidR="003F38C7" w:rsidRDefault="003F38C7" w:rsidP="003F38C7">
            <w:pPr>
              <w:jc w:val="both"/>
            </w:pPr>
          </w:p>
        </w:tc>
      </w:tr>
      <w:tr w:rsidR="003F38C7" w:rsidRPr="00EF3C3C" w14:paraId="2058A3CE" w14:textId="77777777">
        <w:tc>
          <w:tcPr>
            <w:tcW w:w="678" w:type="dxa"/>
            <w:shd w:val="clear" w:color="auto" w:fill="auto"/>
          </w:tcPr>
          <w:p w14:paraId="5642154F" w14:textId="77777777" w:rsidR="003F38C7" w:rsidRDefault="003F38C7" w:rsidP="003F38C7"/>
        </w:tc>
        <w:tc>
          <w:tcPr>
            <w:tcW w:w="2736" w:type="dxa"/>
            <w:shd w:val="clear" w:color="auto" w:fill="auto"/>
          </w:tcPr>
          <w:p w14:paraId="40385582" w14:textId="77777777" w:rsidR="003F38C7" w:rsidRDefault="003F38C7" w:rsidP="003F38C7">
            <w:pPr>
              <w:jc w:val="both"/>
            </w:pPr>
          </w:p>
        </w:tc>
        <w:tc>
          <w:tcPr>
            <w:tcW w:w="1596" w:type="dxa"/>
            <w:shd w:val="clear" w:color="auto" w:fill="auto"/>
          </w:tcPr>
          <w:p w14:paraId="4C3545F3" w14:textId="77777777" w:rsidR="003F38C7" w:rsidRDefault="003F38C7" w:rsidP="003F38C7">
            <w:pPr>
              <w:jc w:val="both"/>
            </w:pPr>
          </w:p>
        </w:tc>
        <w:tc>
          <w:tcPr>
            <w:tcW w:w="2052" w:type="dxa"/>
            <w:shd w:val="clear" w:color="auto" w:fill="auto"/>
          </w:tcPr>
          <w:p w14:paraId="32C9606F" w14:textId="77777777" w:rsidR="003F38C7" w:rsidRDefault="003F38C7" w:rsidP="003F38C7">
            <w:pPr>
              <w:jc w:val="both"/>
            </w:pPr>
          </w:p>
        </w:tc>
        <w:tc>
          <w:tcPr>
            <w:tcW w:w="1254" w:type="dxa"/>
            <w:shd w:val="clear" w:color="auto" w:fill="auto"/>
          </w:tcPr>
          <w:p w14:paraId="72853E0A" w14:textId="77777777" w:rsidR="003F38C7" w:rsidRDefault="003F38C7" w:rsidP="003F38C7">
            <w:pPr>
              <w:jc w:val="both"/>
            </w:pPr>
          </w:p>
        </w:tc>
        <w:tc>
          <w:tcPr>
            <w:tcW w:w="1140" w:type="dxa"/>
            <w:shd w:val="clear" w:color="auto" w:fill="auto"/>
          </w:tcPr>
          <w:p w14:paraId="7CA9FCEA" w14:textId="77777777" w:rsidR="003F38C7" w:rsidRDefault="003F38C7" w:rsidP="003F38C7">
            <w:pPr>
              <w:jc w:val="both"/>
            </w:pPr>
          </w:p>
        </w:tc>
      </w:tr>
      <w:tr w:rsidR="003F38C7" w:rsidRPr="00EF3C3C" w14:paraId="6330EE39" w14:textId="77777777">
        <w:tc>
          <w:tcPr>
            <w:tcW w:w="678" w:type="dxa"/>
            <w:shd w:val="clear" w:color="auto" w:fill="auto"/>
          </w:tcPr>
          <w:p w14:paraId="0390E6FD" w14:textId="77777777" w:rsidR="003F38C7" w:rsidRDefault="003F38C7" w:rsidP="003F38C7">
            <w:pPr>
              <w:jc w:val="both"/>
            </w:pPr>
          </w:p>
        </w:tc>
        <w:tc>
          <w:tcPr>
            <w:tcW w:w="2736" w:type="dxa"/>
            <w:shd w:val="clear" w:color="auto" w:fill="auto"/>
          </w:tcPr>
          <w:p w14:paraId="68FA2085" w14:textId="77777777" w:rsidR="003F38C7" w:rsidRDefault="003F38C7" w:rsidP="003F38C7">
            <w:pPr>
              <w:jc w:val="both"/>
            </w:pPr>
          </w:p>
        </w:tc>
        <w:tc>
          <w:tcPr>
            <w:tcW w:w="1596" w:type="dxa"/>
            <w:shd w:val="clear" w:color="auto" w:fill="auto"/>
          </w:tcPr>
          <w:p w14:paraId="5EBE7963" w14:textId="77777777" w:rsidR="003F38C7" w:rsidRDefault="003F38C7" w:rsidP="003F38C7">
            <w:pPr>
              <w:jc w:val="both"/>
            </w:pPr>
          </w:p>
        </w:tc>
        <w:tc>
          <w:tcPr>
            <w:tcW w:w="2052" w:type="dxa"/>
            <w:shd w:val="clear" w:color="auto" w:fill="auto"/>
          </w:tcPr>
          <w:p w14:paraId="4C43BA75" w14:textId="77777777" w:rsidR="003F38C7" w:rsidRDefault="003F38C7" w:rsidP="003F38C7">
            <w:pPr>
              <w:jc w:val="both"/>
            </w:pPr>
          </w:p>
        </w:tc>
        <w:tc>
          <w:tcPr>
            <w:tcW w:w="1254" w:type="dxa"/>
            <w:shd w:val="clear" w:color="auto" w:fill="auto"/>
          </w:tcPr>
          <w:p w14:paraId="5D54FF22" w14:textId="77777777" w:rsidR="003F38C7" w:rsidRDefault="003F38C7" w:rsidP="003F38C7">
            <w:pPr>
              <w:jc w:val="both"/>
            </w:pPr>
          </w:p>
        </w:tc>
        <w:tc>
          <w:tcPr>
            <w:tcW w:w="1140" w:type="dxa"/>
            <w:shd w:val="clear" w:color="auto" w:fill="auto"/>
          </w:tcPr>
          <w:p w14:paraId="20CC9305" w14:textId="77777777" w:rsidR="003F38C7" w:rsidRDefault="003F38C7" w:rsidP="003F38C7">
            <w:pPr>
              <w:jc w:val="both"/>
            </w:pPr>
          </w:p>
        </w:tc>
      </w:tr>
    </w:tbl>
    <w:p w14:paraId="672FDE84" w14:textId="77777777" w:rsidR="003F38C7" w:rsidRPr="00A06847" w:rsidRDefault="003F38C7" w:rsidP="003F38C7">
      <w:pPr>
        <w:jc w:val="both"/>
        <w:rPr>
          <w:sz w:val="16"/>
          <w:szCs w:val="16"/>
        </w:rPr>
      </w:pPr>
    </w:p>
    <w:p w14:paraId="327857AE" w14:textId="77777777" w:rsidR="00D50E39" w:rsidRPr="00B55243" w:rsidRDefault="00B55243" w:rsidP="00BA3F1E">
      <w:pPr>
        <w:ind w:firstLine="720"/>
        <w:jc w:val="both"/>
        <w:rPr>
          <w:i/>
        </w:rPr>
      </w:pPr>
      <w:r w:rsidRPr="00B55243">
        <w:rPr>
          <w:i/>
        </w:rPr>
        <w:t>Papildus par iznīcināmajiem transportlīdzekļiem sniedzu šādu informāciju:</w:t>
      </w:r>
    </w:p>
    <w:p w14:paraId="4DC86D00" w14:textId="77777777" w:rsidR="00B55243" w:rsidRPr="00B55243" w:rsidRDefault="00B55243" w:rsidP="00B55243">
      <w:pPr>
        <w:numPr>
          <w:ilvl w:val="0"/>
          <w:numId w:val="2"/>
        </w:numPr>
        <w:ind w:left="357" w:hanging="357"/>
        <w:jc w:val="both"/>
        <w:rPr>
          <w:i/>
        </w:rPr>
      </w:pPr>
      <w:r w:rsidRPr="00B55243">
        <w:rPr>
          <w:i/>
        </w:rPr>
        <w:t>Iznīcināšanas vieta</w:t>
      </w:r>
      <w:r w:rsidR="00956CE0">
        <w:rPr>
          <w:i/>
        </w:rPr>
        <w:t xml:space="preserve"> (adrese)</w:t>
      </w:r>
      <w:r w:rsidRPr="00B55243">
        <w:rPr>
          <w:i/>
        </w:rPr>
        <w:t>: ___________</w:t>
      </w:r>
    </w:p>
    <w:p w14:paraId="1D0A7B15" w14:textId="77777777" w:rsidR="00956CE0" w:rsidRDefault="00B55243" w:rsidP="00B55243">
      <w:pPr>
        <w:numPr>
          <w:ilvl w:val="0"/>
          <w:numId w:val="2"/>
        </w:numPr>
        <w:ind w:left="357" w:hanging="357"/>
        <w:jc w:val="both"/>
        <w:rPr>
          <w:i/>
        </w:rPr>
      </w:pPr>
      <w:r w:rsidRPr="00B55243">
        <w:rPr>
          <w:i/>
        </w:rPr>
        <w:t xml:space="preserve">Iznīcināšanas veids: </w:t>
      </w:r>
      <w:r w:rsidR="00FD0B2B">
        <w:rPr>
          <w:i/>
        </w:rPr>
        <w:t xml:space="preserve">sasmalcinot/ </w:t>
      </w:r>
      <w:r w:rsidR="00FD0B2B" w:rsidRPr="00FD0B2B">
        <w:rPr>
          <w:i/>
        </w:rPr>
        <w:t>sapresējot</w:t>
      </w:r>
    </w:p>
    <w:p w14:paraId="3620A58D" w14:textId="77777777" w:rsidR="00B55243" w:rsidRPr="00956CE0" w:rsidRDefault="00FD0B2B" w:rsidP="00956CE0">
      <w:pPr>
        <w:ind w:left="2517" w:firstLine="363"/>
        <w:jc w:val="both"/>
        <w:rPr>
          <w:i/>
          <w:sz w:val="16"/>
          <w:szCs w:val="16"/>
        </w:rPr>
      </w:pPr>
      <w:r w:rsidRPr="00956CE0">
        <w:rPr>
          <w:sz w:val="16"/>
          <w:szCs w:val="16"/>
        </w:rPr>
        <w:t xml:space="preserve">(nevajadzīgo svītrot)  </w:t>
      </w:r>
    </w:p>
    <w:p w14:paraId="1D7BF2A8" w14:textId="77777777" w:rsidR="00C77CD1" w:rsidRDefault="00FD0B2B" w:rsidP="00BA3F1E">
      <w:pPr>
        <w:ind w:firstLine="720"/>
        <w:jc w:val="both"/>
      </w:pPr>
      <w:r>
        <w:t>Iesniedzot šo piedāvājumu</w:t>
      </w:r>
      <w:r w:rsidR="00C77CD1">
        <w:t>:</w:t>
      </w:r>
    </w:p>
    <w:p w14:paraId="3718E81B" w14:textId="77777777" w:rsidR="00C77CD1" w:rsidRDefault="003F38C7" w:rsidP="00C73B81">
      <w:pPr>
        <w:numPr>
          <w:ilvl w:val="0"/>
          <w:numId w:val="1"/>
        </w:numPr>
        <w:ind w:left="357" w:hanging="357"/>
        <w:jc w:val="both"/>
      </w:pPr>
      <w:r w:rsidRPr="00BA3F1E">
        <w:t>apņemos no</w:t>
      </w:r>
      <w:r w:rsidR="00345170">
        <w:t>slēg</w:t>
      </w:r>
      <w:r w:rsidRPr="00BA3F1E">
        <w:t xml:space="preserve">t </w:t>
      </w:r>
      <w:r w:rsidR="00C77CD1">
        <w:t>l</w:t>
      </w:r>
      <w:r w:rsidR="00345170">
        <w:t>īgum</w:t>
      </w:r>
      <w:r w:rsidR="00C77CD1" w:rsidRPr="00BA3F1E">
        <w:t xml:space="preserve">u </w:t>
      </w:r>
      <w:r w:rsidRPr="00BA3F1E">
        <w:t xml:space="preserve">trīs darba dienu laikā pēc transportlīdzekļu realizācijas komisijas lēmuma publicēšanas Nodrošinājuma valsts aģentūras </w:t>
      </w:r>
      <w:r w:rsidR="00C77CD1">
        <w:t>tīmekļ</w:t>
      </w:r>
      <w:r w:rsidR="00D50E39">
        <w:t xml:space="preserve">a </w:t>
      </w:r>
      <w:r w:rsidR="00C73B81">
        <w:t>vietnē</w:t>
      </w:r>
      <w:r w:rsidR="00C77CD1">
        <w:t>;</w:t>
      </w:r>
    </w:p>
    <w:p w14:paraId="518D1BD0" w14:textId="77777777" w:rsidR="003F38C7" w:rsidRDefault="00C77CD1" w:rsidP="00C73B81">
      <w:pPr>
        <w:numPr>
          <w:ilvl w:val="0"/>
          <w:numId w:val="1"/>
        </w:numPr>
        <w:ind w:left="357" w:hanging="357"/>
        <w:jc w:val="both"/>
      </w:pPr>
      <w:r>
        <w:t>apliecinu, ka e</w:t>
      </w:r>
      <w:r w:rsidR="003F38C7">
        <w:t>smu informēts par to, ka gadījumā</w:t>
      </w:r>
      <w:r w:rsidR="00BA3F1E">
        <w:t>,</w:t>
      </w:r>
      <w:r w:rsidR="003F38C7">
        <w:t xml:space="preserve"> ja realizācijas komisija manu finanšu piedāvājumu uzskata par izdevīgāko, bet es sev zināmu iemeslu dēļ atsakos no </w:t>
      </w:r>
      <w:r w:rsidR="00D50E39">
        <w:t>piedāvājumā</w:t>
      </w:r>
      <w:r w:rsidR="00E078FA">
        <w:t xml:space="preserve"> minētā transportlīdzekļa</w:t>
      </w:r>
      <w:r w:rsidR="003F38C7">
        <w:t>/ transportlīdzekļu iegā</w:t>
      </w:r>
      <w:r w:rsidR="00C73B81">
        <w:t>des vai neievēroju līguma noslēgšanas termiņu</w:t>
      </w:r>
      <w:r w:rsidR="003F38C7">
        <w:t>, tad es zaudēju iespēju noslēgt līgumu par transportlīdz</w:t>
      </w:r>
      <w:r w:rsidR="00E078FA">
        <w:t>ekļa</w:t>
      </w:r>
      <w:r w:rsidR="00C73B81">
        <w:t>/ transportlīdzekļu iegādi;</w:t>
      </w:r>
    </w:p>
    <w:p w14:paraId="2D70E9C2" w14:textId="77777777" w:rsidR="00C77CD1" w:rsidRPr="00D50E39" w:rsidRDefault="00C77CD1" w:rsidP="00C73B81">
      <w:pPr>
        <w:numPr>
          <w:ilvl w:val="0"/>
          <w:numId w:val="1"/>
        </w:numPr>
        <w:ind w:left="357" w:hanging="357"/>
        <w:jc w:val="both"/>
      </w:pPr>
      <w:r w:rsidRPr="00D50E39">
        <w:t xml:space="preserve">garantēju </w:t>
      </w:r>
      <w:r w:rsidR="00345170" w:rsidRPr="00D50E39">
        <w:t xml:space="preserve">transportlīdzekļa/ transportlīdzekļu </w:t>
      </w:r>
      <w:r w:rsidRPr="00D50E39">
        <w:t xml:space="preserve">pārņemšanu vienas darba dienas laikā pēc līguma noslēgšanas, ja </w:t>
      </w:r>
      <w:r w:rsidR="00345170" w:rsidRPr="00D50E39">
        <w:t xml:space="preserve">paziņojumā </w:t>
      </w:r>
      <w:r w:rsidRPr="00D50E39">
        <w:t xml:space="preserve">par realizāciju nav </w:t>
      </w:r>
      <w:r w:rsidR="00345170" w:rsidRPr="00D50E39">
        <w:t>paredzēts</w:t>
      </w:r>
      <w:r w:rsidRPr="00D50E39">
        <w:t xml:space="preserve"> ilgāks termiņš;</w:t>
      </w:r>
    </w:p>
    <w:p w14:paraId="5FC4803B" w14:textId="77777777" w:rsidR="00C77CD1" w:rsidRDefault="00C77CD1" w:rsidP="00C73B81">
      <w:pPr>
        <w:numPr>
          <w:ilvl w:val="0"/>
          <w:numId w:val="1"/>
        </w:numPr>
        <w:ind w:left="357" w:hanging="357"/>
        <w:jc w:val="both"/>
      </w:pPr>
      <w:r w:rsidRPr="00D50E39">
        <w:t>l</w:t>
      </w:r>
      <w:r w:rsidR="004221D8" w:rsidRPr="00D50E39">
        <w:t xml:space="preserve">īgumā noteiktā mantas pārņemšanas termiņa </w:t>
      </w:r>
      <w:r w:rsidR="003F38C7" w:rsidRPr="00D50E39">
        <w:t>neievērošanas gadījumā apņemos veikt</w:t>
      </w:r>
      <w:r w:rsidR="003F38C7">
        <w:t xml:space="preserve"> nepārņemtā / nepārņemto transportlīdzekļa / transportlīdzekļu glabāšanas izdev</w:t>
      </w:r>
      <w:r>
        <w:t>umu apmaksu</w:t>
      </w:r>
      <w:r w:rsidR="007D465E">
        <w:rPr>
          <w:rStyle w:val="EndnoteReference"/>
        </w:rPr>
        <w:endnoteReference w:id="1"/>
      </w:r>
      <w:r>
        <w:t>;</w:t>
      </w:r>
    </w:p>
    <w:p w14:paraId="10783F96" w14:textId="77777777" w:rsidR="00C73B81" w:rsidRDefault="007B1676" w:rsidP="00C73B81">
      <w:pPr>
        <w:numPr>
          <w:ilvl w:val="0"/>
          <w:numId w:val="1"/>
        </w:numPr>
        <w:ind w:left="357" w:hanging="357"/>
        <w:jc w:val="both"/>
      </w:pPr>
      <w:r>
        <w:t>apliecinu, ka nepastāv normatīvajos aktos noteiktie ierobežojumi izņemtās mantas</w:t>
      </w:r>
      <w:r>
        <w:rPr>
          <w:rStyle w:val="EndnoteReference"/>
        </w:rPr>
        <w:endnoteReference w:id="2"/>
      </w:r>
      <w:r>
        <w:t xml:space="preserve"> vai lietisko pierādījumu</w:t>
      </w:r>
      <w:r w:rsidR="007D465E">
        <w:rPr>
          <w:rStyle w:val="EndnoteReference"/>
        </w:rPr>
        <w:endnoteReference w:id="3"/>
      </w:r>
      <w:r w:rsidR="00C73B81">
        <w:t xml:space="preserve"> iegāde</w:t>
      </w:r>
      <w:r w:rsidR="00345170">
        <w:t>i</w:t>
      </w:r>
      <w:r w:rsidR="00C73B81">
        <w:t>;</w:t>
      </w:r>
    </w:p>
    <w:p w14:paraId="702C2366" w14:textId="77777777" w:rsidR="003F38C7" w:rsidRDefault="00C73B81" w:rsidP="00C73B81">
      <w:pPr>
        <w:numPr>
          <w:ilvl w:val="0"/>
          <w:numId w:val="1"/>
        </w:numPr>
        <w:ind w:left="357" w:hanging="357"/>
        <w:jc w:val="both"/>
      </w:pPr>
      <w:r>
        <w:t>apliecinu, ka esmu informēts, ka Nodrošinājuma valsts aģentūra, reģ.nr. 90009112024, veic personas datu apstrādi realizācijas administrēšanai.</w:t>
      </w:r>
    </w:p>
    <w:p w14:paraId="6856EBF3" w14:textId="77777777" w:rsidR="00511A4E" w:rsidRDefault="00511A4E" w:rsidP="003F38C7">
      <w:pPr>
        <w:tabs>
          <w:tab w:val="left" w:pos="6096"/>
        </w:tabs>
      </w:pPr>
    </w:p>
    <w:p w14:paraId="69A6B8B2" w14:textId="77777777" w:rsidR="003F38C7" w:rsidRDefault="003F38C7" w:rsidP="003F38C7">
      <w:pPr>
        <w:tabs>
          <w:tab w:val="left" w:pos="6096"/>
        </w:tabs>
      </w:pPr>
      <w:r>
        <w:t>_______________________</w:t>
      </w:r>
      <w:r>
        <w:tab/>
        <w:t>______________________</w:t>
      </w:r>
    </w:p>
    <w:p w14:paraId="3C086253" w14:textId="77777777" w:rsidR="009C10EA" w:rsidRDefault="003F38C7" w:rsidP="00823021">
      <w:pPr>
        <w:tabs>
          <w:tab w:val="left" w:pos="6379"/>
        </w:tabs>
        <w:ind w:firstLine="720"/>
      </w:pPr>
      <w:r w:rsidRPr="00154E67">
        <w:rPr>
          <w:sz w:val="16"/>
          <w:szCs w:val="16"/>
        </w:rPr>
        <w:lastRenderedPageBreak/>
        <w:t>(paraksts)</w:t>
      </w:r>
      <w:r w:rsidRPr="00154E67">
        <w:rPr>
          <w:sz w:val="16"/>
          <w:szCs w:val="16"/>
        </w:rPr>
        <w:tab/>
        <w:t xml:space="preserve"> (paraksta atšifrējums)</w:t>
      </w:r>
    </w:p>
    <w:sectPr w:rsidR="009C10EA" w:rsidSect="007B1676">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8DA3D" w14:textId="77777777" w:rsidR="00595D11" w:rsidRDefault="00595D11">
      <w:r>
        <w:separator/>
      </w:r>
    </w:p>
  </w:endnote>
  <w:endnote w:type="continuationSeparator" w:id="0">
    <w:p w14:paraId="116284FB" w14:textId="77777777" w:rsidR="00595D11" w:rsidRDefault="00595D11">
      <w:r>
        <w:continuationSeparator/>
      </w:r>
    </w:p>
  </w:endnote>
  <w:endnote w:id="1">
    <w:p w14:paraId="126B16D8" w14:textId="77777777" w:rsidR="007D465E" w:rsidRDefault="007D465E" w:rsidP="007D465E">
      <w:pPr>
        <w:pStyle w:val="EndnoteText"/>
        <w:jc w:val="both"/>
      </w:pPr>
      <w:r>
        <w:rPr>
          <w:rStyle w:val="EndnoteReference"/>
        </w:rPr>
        <w:endnoteRef/>
      </w:r>
      <w:r>
        <w:t xml:space="preserve"> </w:t>
      </w:r>
      <w:r w:rsidRPr="007D465E">
        <w:t>Ministru kabineta 2010. gada 7. decembra noteikumu Nr. 1098 „Noteikumi par rīcību ar administratīvo pārkāpumu lietās izņemto mantu un dokumentiem”</w:t>
      </w:r>
      <w:r w:rsidR="00E16547">
        <w:t xml:space="preserve"> 72.punkts nosaka, ka </w:t>
      </w:r>
      <w:r>
        <w:t>“</w:t>
      </w:r>
      <w:r w:rsidR="00E16547">
        <w:t>i</w:t>
      </w:r>
      <w:r>
        <w:t>zdevumu apmēru par izņemtās mantas glabāšanu vai iznīcināšanu nosaka saskaņā ar šajos noteikumos noteikto izdevumu apmēru par administratīvā pārkāpuma lietā izņemtās mantas glabāšanu vai iznīcināšanu”</w:t>
      </w:r>
      <w:r w:rsidR="00FF4A2B">
        <w:t>, un 73.punkts nosaka, ka</w:t>
      </w:r>
      <w:r w:rsidR="00E16547">
        <w:t>, “j</w:t>
      </w:r>
      <w:r w:rsidR="00FF4A2B">
        <w:t xml:space="preserve">a ar izņemtās mantas vai dokumenta nodošanu glabāšanā, glabāšanu vai iznīcināšanu saistīto izdevumu apmērs nav minēts šo noteikumu </w:t>
      </w:r>
      <w:hyperlink r:id="rId1" w:anchor="piel4" w:history="1">
        <w:r w:rsidR="00FF4A2B">
          <w:rPr>
            <w:rStyle w:val="Hyperlink"/>
          </w:rPr>
          <w:t>4.pielikumā</w:t>
        </w:r>
      </w:hyperlink>
      <w:r w:rsidR="00FF4A2B">
        <w:t xml:space="preserve">, to aprēķina atbilstoši faktiskajām izmaksām”. </w:t>
      </w:r>
    </w:p>
  </w:endnote>
  <w:endnote w:id="2">
    <w:p w14:paraId="3158066E" w14:textId="77777777" w:rsidR="007B1676" w:rsidRPr="007D465E" w:rsidRDefault="007B1676" w:rsidP="007D465E">
      <w:pPr>
        <w:pStyle w:val="EndnoteText"/>
        <w:jc w:val="both"/>
      </w:pPr>
      <w:r w:rsidRPr="007D465E">
        <w:rPr>
          <w:rStyle w:val="EndnoteReference"/>
        </w:rPr>
        <w:endnoteRef/>
      </w:r>
      <w:r w:rsidRPr="007D465E">
        <w:t xml:space="preserve"> </w:t>
      </w:r>
      <w:r w:rsidRPr="007D465E">
        <w:t>Ministru kabineta 2010. gada 7. decembra noteikumu Nr. 1098 „Noteikumi par rīcību ar administratīvo pārkāpumu lietās izņemto mantu un dokumentiem”</w:t>
      </w:r>
      <w:r w:rsidR="007D465E" w:rsidRPr="007D465E">
        <w:t xml:space="preserve"> 56.punkts nosaka, ka “Pieteikties uz realizējamo izņemto mantu vai to iegādāties nedrīkst pretendents, kurš ir izņemtās mantas vērtētājs, amatpersona, kura veica</w:t>
      </w:r>
      <w:r w:rsidR="007D465E">
        <w:t xml:space="preserve"> attiecīgās izņemtās mantas izņemšanu, aprakstīšanu, novērtēšanu vai kura piedalījās izņemtās mantas novērtēšanas, realizācijas vai iznīcināšanas komisijas darbā kā komisijas vadītājs vai loceklis, vai aģentūras amatpersona saskaņā ar normatīvajiem aktiem par interešu konflikta novēršanu valsts amatpersonu darbībā”</w:t>
      </w:r>
    </w:p>
  </w:endnote>
  <w:endnote w:id="3">
    <w:p w14:paraId="18FB7903" w14:textId="77777777" w:rsidR="007D465E" w:rsidRPr="007D465E" w:rsidRDefault="007D465E" w:rsidP="007D465E">
      <w:pPr>
        <w:pStyle w:val="tv213"/>
        <w:spacing w:before="0" w:beforeAutospacing="0" w:after="0" w:afterAutospacing="0"/>
        <w:jc w:val="both"/>
        <w:rPr>
          <w:sz w:val="20"/>
          <w:szCs w:val="20"/>
        </w:rPr>
      </w:pPr>
      <w:r w:rsidRPr="007D465E">
        <w:rPr>
          <w:rStyle w:val="EndnoteReference"/>
          <w:sz w:val="20"/>
          <w:szCs w:val="20"/>
        </w:rPr>
        <w:endnoteRef/>
      </w:r>
      <w:r w:rsidRPr="007D465E">
        <w:rPr>
          <w:sz w:val="20"/>
          <w:szCs w:val="20"/>
        </w:rPr>
        <w:t xml:space="preserve"> </w:t>
      </w:r>
      <w:r w:rsidRPr="007D465E">
        <w:rPr>
          <w:sz w:val="20"/>
          <w:szCs w:val="20"/>
        </w:rPr>
        <w:t>Ministru kabineta 2011.gada 27.decembra noteikumu Nr. 1025 „Noteikumi par rīcību ar lietiskajiem pierādījumiem un arestēto mantu” 34.punkts nosaka, ka “Aģentūras uzskaitē esoša lietiskā pierādījuma iegādei aizliegts pieteikties: 34.1. lietiskā pierādījuma vērtētājam; 34.2. amatpersonai, kura veica attiecīgā lietiskā pierādījuma izņemšanu, aprakstīšanu vai novērtēšanu vai pieņēma lēmumu saistībā ar lietisko pierādījumu; 34.3. amatpersonai, kura piedalījās lietiskā pierādījuma novērtēšanā vai kura iekļauta realizācijas komisijā; 34.4. aģentūrā nodarbinātajam; 34.5. šo noteikumu 34.2., 34.3. un 34.4.apakšpunktā minēto personu pirmās pakāpes radiniekam vai laulātajam.”</w:t>
      </w:r>
    </w:p>
    <w:p w14:paraId="025E33C6" w14:textId="77777777" w:rsidR="007D465E" w:rsidRPr="007D465E" w:rsidRDefault="007D465E" w:rsidP="007D465E">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CF222" w14:textId="77777777" w:rsidR="00823021" w:rsidRDefault="00823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500C8" w14:textId="77777777" w:rsidR="00823021" w:rsidRDefault="008230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09B65" w14:textId="77777777" w:rsidR="00823021" w:rsidRDefault="00823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6CD76" w14:textId="77777777" w:rsidR="00595D11" w:rsidRDefault="00595D11">
      <w:r>
        <w:separator/>
      </w:r>
    </w:p>
  </w:footnote>
  <w:footnote w:type="continuationSeparator" w:id="0">
    <w:p w14:paraId="32691875" w14:textId="77777777" w:rsidR="00595D11" w:rsidRDefault="00595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92375" w14:textId="77777777" w:rsidR="00823021" w:rsidRDefault="008230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3C4AF" w14:textId="77777777" w:rsidR="00823021" w:rsidRDefault="008230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F100" w14:textId="77777777" w:rsidR="00823021" w:rsidRDefault="00823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D370B"/>
    <w:multiLevelType w:val="hybridMultilevel"/>
    <w:tmpl w:val="E5569D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EBD1A94"/>
    <w:multiLevelType w:val="hybridMultilevel"/>
    <w:tmpl w:val="4022A6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C7"/>
    <w:rsid w:val="00017BD2"/>
    <w:rsid w:val="00025356"/>
    <w:rsid w:val="000672CF"/>
    <w:rsid w:val="001B7E53"/>
    <w:rsid w:val="00345170"/>
    <w:rsid w:val="00347110"/>
    <w:rsid w:val="003F2C6E"/>
    <w:rsid w:val="003F38C7"/>
    <w:rsid w:val="004221D8"/>
    <w:rsid w:val="004242CF"/>
    <w:rsid w:val="0049182D"/>
    <w:rsid w:val="004959FB"/>
    <w:rsid w:val="00496D5B"/>
    <w:rsid w:val="004C2DBD"/>
    <w:rsid w:val="004C7884"/>
    <w:rsid w:val="004D5A3C"/>
    <w:rsid w:val="00507CDA"/>
    <w:rsid w:val="00511A4E"/>
    <w:rsid w:val="00512575"/>
    <w:rsid w:val="00517BFE"/>
    <w:rsid w:val="0053028C"/>
    <w:rsid w:val="00555D00"/>
    <w:rsid w:val="005619FD"/>
    <w:rsid w:val="00595D11"/>
    <w:rsid w:val="00654E3E"/>
    <w:rsid w:val="00672317"/>
    <w:rsid w:val="00695650"/>
    <w:rsid w:val="006B543C"/>
    <w:rsid w:val="006D7EBF"/>
    <w:rsid w:val="007356A9"/>
    <w:rsid w:val="00740317"/>
    <w:rsid w:val="007B1676"/>
    <w:rsid w:val="007D28B0"/>
    <w:rsid w:val="007D465E"/>
    <w:rsid w:val="007D516B"/>
    <w:rsid w:val="008213C1"/>
    <w:rsid w:val="00823021"/>
    <w:rsid w:val="008B4658"/>
    <w:rsid w:val="0090796F"/>
    <w:rsid w:val="00917A52"/>
    <w:rsid w:val="00950449"/>
    <w:rsid w:val="00956CE0"/>
    <w:rsid w:val="009C10EA"/>
    <w:rsid w:val="00A02D80"/>
    <w:rsid w:val="00A47C78"/>
    <w:rsid w:val="00AB4E25"/>
    <w:rsid w:val="00AD4B35"/>
    <w:rsid w:val="00B23E93"/>
    <w:rsid w:val="00B55243"/>
    <w:rsid w:val="00BA3F1E"/>
    <w:rsid w:val="00C12B63"/>
    <w:rsid w:val="00C73B81"/>
    <w:rsid w:val="00C77CD1"/>
    <w:rsid w:val="00CA46A8"/>
    <w:rsid w:val="00CB5154"/>
    <w:rsid w:val="00CD0987"/>
    <w:rsid w:val="00CF3C46"/>
    <w:rsid w:val="00D50E39"/>
    <w:rsid w:val="00D92914"/>
    <w:rsid w:val="00DE58C4"/>
    <w:rsid w:val="00E00AD4"/>
    <w:rsid w:val="00E078FA"/>
    <w:rsid w:val="00E16547"/>
    <w:rsid w:val="00EA381C"/>
    <w:rsid w:val="00EE3640"/>
    <w:rsid w:val="00F03964"/>
    <w:rsid w:val="00F82CA7"/>
    <w:rsid w:val="00F85E11"/>
    <w:rsid w:val="00FD0B2B"/>
    <w:rsid w:val="00FF4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F7BB1"/>
  <w15:chartTrackingRefBased/>
  <w15:docId w15:val="{E8776251-CF49-B64A-93BA-50710C0F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38C7"/>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38C7"/>
    <w:pPr>
      <w:tabs>
        <w:tab w:val="center" w:pos="4153"/>
        <w:tab w:val="right" w:pos="8306"/>
      </w:tabs>
    </w:pPr>
  </w:style>
  <w:style w:type="character" w:customStyle="1" w:styleId="HeaderChar">
    <w:name w:val="Header Char"/>
    <w:link w:val="Header"/>
    <w:rsid w:val="003F38C7"/>
    <w:rPr>
      <w:sz w:val="24"/>
      <w:szCs w:val="24"/>
      <w:lang w:val="lv-LV" w:eastAsia="lv-LV" w:bidi="ar-SA"/>
    </w:rPr>
  </w:style>
  <w:style w:type="paragraph" w:styleId="Footer">
    <w:name w:val="footer"/>
    <w:basedOn w:val="Normal"/>
    <w:link w:val="FooterChar"/>
    <w:rsid w:val="003F38C7"/>
    <w:pPr>
      <w:tabs>
        <w:tab w:val="center" w:pos="4153"/>
        <w:tab w:val="right" w:pos="8306"/>
      </w:tabs>
    </w:pPr>
  </w:style>
  <w:style w:type="character" w:customStyle="1" w:styleId="FooterChar">
    <w:name w:val="Footer Char"/>
    <w:link w:val="Footer"/>
    <w:rsid w:val="003F38C7"/>
    <w:rPr>
      <w:sz w:val="24"/>
      <w:szCs w:val="24"/>
      <w:lang w:val="lv-LV" w:eastAsia="lv-LV" w:bidi="ar-SA"/>
    </w:rPr>
  </w:style>
  <w:style w:type="character" w:styleId="Hyperlink">
    <w:name w:val="Hyperlink"/>
    <w:uiPriority w:val="99"/>
    <w:unhideWhenUsed/>
    <w:rsid w:val="00511A4E"/>
    <w:rPr>
      <w:color w:val="0000FF"/>
      <w:u w:val="single"/>
    </w:rPr>
  </w:style>
  <w:style w:type="paragraph" w:styleId="NormalWeb">
    <w:name w:val="Normal (Web)"/>
    <w:basedOn w:val="Normal"/>
    <w:uiPriority w:val="99"/>
    <w:unhideWhenUsed/>
    <w:rsid w:val="00511A4E"/>
    <w:pPr>
      <w:spacing w:before="100" w:beforeAutospacing="1" w:after="100" w:afterAutospacing="1"/>
    </w:pPr>
    <w:rPr>
      <w:rFonts w:eastAsia="Calibri"/>
      <w:color w:val="000000"/>
    </w:rPr>
  </w:style>
  <w:style w:type="character" w:styleId="CommentReference">
    <w:name w:val="annotation reference"/>
    <w:rsid w:val="007B1676"/>
    <w:rPr>
      <w:sz w:val="16"/>
      <w:szCs w:val="16"/>
    </w:rPr>
  </w:style>
  <w:style w:type="paragraph" w:styleId="CommentText">
    <w:name w:val="annotation text"/>
    <w:basedOn w:val="Normal"/>
    <w:link w:val="CommentTextChar"/>
    <w:rsid w:val="007B1676"/>
    <w:rPr>
      <w:sz w:val="20"/>
      <w:szCs w:val="20"/>
    </w:rPr>
  </w:style>
  <w:style w:type="character" w:customStyle="1" w:styleId="CommentTextChar">
    <w:name w:val="Comment Text Char"/>
    <w:basedOn w:val="DefaultParagraphFont"/>
    <w:link w:val="CommentText"/>
    <w:rsid w:val="007B1676"/>
  </w:style>
  <w:style w:type="paragraph" w:styleId="CommentSubject">
    <w:name w:val="annotation subject"/>
    <w:basedOn w:val="CommentText"/>
    <w:next w:val="CommentText"/>
    <w:link w:val="CommentSubjectChar"/>
    <w:rsid w:val="007B1676"/>
    <w:rPr>
      <w:b/>
      <w:bCs/>
    </w:rPr>
  </w:style>
  <w:style w:type="character" w:customStyle="1" w:styleId="CommentSubjectChar">
    <w:name w:val="Comment Subject Char"/>
    <w:link w:val="CommentSubject"/>
    <w:rsid w:val="007B1676"/>
    <w:rPr>
      <w:b/>
      <w:bCs/>
    </w:rPr>
  </w:style>
  <w:style w:type="paragraph" w:styleId="BalloonText">
    <w:name w:val="Balloon Text"/>
    <w:basedOn w:val="Normal"/>
    <w:link w:val="BalloonTextChar"/>
    <w:rsid w:val="007B1676"/>
    <w:rPr>
      <w:rFonts w:ascii="Segoe UI" w:hAnsi="Segoe UI" w:cs="Segoe UI"/>
      <w:sz w:val="18"/>
      <w:szCs w:val="18"/>
    </w:rPr>
  </w:style>
  <w:style w:type="character" w:customStyle="1" w:styleId="BalloonTextChar">
    <w:name w:val="Balloon Text Char"/>
    <w:link w:val="BalloonText"/>
    <w:rsid w:val="007B1676"/>
    <w:rPr>
      <w:rFonts w:ascii="Segoe UI" w:hAnsi="Segoe UI" w:cs="Segoe UI"/>
      <w:sz w:val="18"/>
      <w:szCs w:val="18"/>
    </w:rPr>
  </w:style>
  <w:style w:type="paragraph" w:styleId="EndnoteText">
    <w:name w:val="endnote text"/>
    <w:basedOn w:val="Normal"/>
    <w:link w:val="EndnoteTextChar"/>
    <w:rsid w:val="007B1676"/>
    <w:rPr>
      <w:sz w:val="20"/>
      <w:szCs w:val="20"/>
    </w:rPr>
  </w:style>
  <w:style w:type="character" w:customStyle="1" w:styleId="EndnoteTextChar">
    <w:name w:val="Endnote Text Char"/>
    <w:basedOn w:val="DefaultParagraphFont"/>
    <w:link w:val="EndnoteText"/>
    <w:rsid w:val="007B1676"/>
  </w:style>
  <w:style w:type="character" w:styleId="EndnoteReference">
    <w:name w:val="endnote reference"/>
    <w:rsid w:val="007B1676"/>
    <w:rPr>
      <w:vertAlign w:val="superscript"/>
    </w:rPr>
  </w:style>
  <w:style w:type="paragraph" w:customStyle="1" w:styleId="tv213">
    <w:name w:val="tv213"/>
    <w:basedOn w:val="Normal"/>
    <w:rsid w:val="007D465E"/>
    <w:pPr>
      <w:spacing w:before="100" w:beforeAutospacing="1" w:after="100" w:afterAutospacing="1"/>
    </w:pPr>
  </w:style>
  <w:style w:type="paragraph" w:styleId="FootnoteText">
    <w:name w:val="footnote text"/>
    <w:basedOn w:val="Normal"/>
    <w:link w:val="FootnoteTextChar"/>
    <w:rsid w:val="007D465E"/>
    <w:rPr>
      <w:sz w:val="20"/>
      <w:szCs w:val="20"/>
    </w:rPr>
  </w:style>
  <w:style w:type="character" w:customStyle="1" w:styleId="FootnoteTextChar">
    <w:name w:val="Footnote Text Char"/>
    <w:basedOn w:val="DefaultParagraphFont"/>
    <w:link w:val="FootnoteText"/>
    <w:rsid w:val="007D465E"/>
  </w:style>
  <w:style w:type="character" w:styleId="FootnoteReference">
    <w:name w:val="footnote reference"/>
    <w:rsid w:val="007D465E"/>
    <w:rPr>
      <w:vertAlign w:val="superscript"/>
    </w:rPr>
  </w:style>
  <w:style w:type="character" w:styleId="UnresolvedMention">
    <w:name w:val="Unresolved Mention"/>
    <w:basedOn w:val="DefaultParagraphFont"/>
    <w:uiPriority w:val="99"/>
    <w:semiHidden/>
    <w:unhideWhenUsed/>
    <w:rsid w:val="00496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475074">
      <w:bodyDiv w:val="1"/>
      <w:marLeft w:val="0"/>
      <w:marRight w:val="0"/>
      <w:marTop w:val="0"/>
      <w:marBottom w:val="0"/>
      <w:divBdr>
        <w:top w:val="none" w:sz="0" w:space="0" w:color="auto"/>
        <w:left w:val="none" w:sz="0" w:space="0" w:color="auto"/>
        <w:bottom w:val="none" w:sz="0" w:space="0" w:color="auto"/>
        <w:right w:val="none" w:sz="0" w:space="0" w:color="auto"/>
      </w:divBdr>
    </w:div>
    <w:div w:id="130739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likumi.lv/ta/id/222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E755-CA96-4268-AD76-466C727A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1521</Words>
  <Characters>868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Nodrošinājuma valsts aģentūras</vt:lpstr>
    </vt:vector>
  </TitlesOfParts>
  <Company>IeM NVA</Company>
  <LinksUpToDate>false</LinksUpToDate>
  <CharactersWithSpaces>2385</CharactersWithSpaces>
  <SharedDoc>false</SharedDoc>
  <HLinks>
    <vt:vector size="6" baseType="variant">
      <vt:variant>
        <vt:i4>3473513</vt:i4>
      </vt:variant>
      <vt:variant>
        <vt:i4>0</vt:i4>
      </vt:variant>
      <vt:variant>
        <vt:i4>0</vt:i4>
      </vt:variant>
      <vt:variant>
        <vt:i4>5</vt:i4>
      </vt:variant>
      <vt:variant>
        <vt:lpwstr>https://likumi.lv/ta/id/222517</vt:lpwstr>
      </vt:variant>
      <vt:variant>
        <vt:lpwstr>piel4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Nodrošinājuma valsts aģentūras</dc:title>
  <dc:subject/>
  <dc:creator>Administrators</dc:creator>
  <cp:keywords/>
  <cp:lastModifiedBy>Vadims Buraks</cp:lastModifiedBy>
  <cp:revision>3</cp:revision>
  <dcterms:created xsi:type="dcterms:W3CDTF">2024-11-08T07:05:00Z</dcterms:created>
  <dcterms:modified xsi:type="dcterms:W3CDTF">2024-11-08T07:05:00Z</dcterms:modified>
</cp:coreProperties>
</file>