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04074A" w:rsidRPr="0004074A" w:rsidRDefault="0004074A" w:rsidP="0004074A"/>
    <w:p w:rsidR="00187D66" w:rsidRDefault="004F3D38" w:rsidP="00730FD4">
      <w:pPr>
        <w:spacing w:after="88" w:line="259" w:lineRule="auto"/>
        <w:ind w:left="115" w:right="0" w:firstLine="0"/>
        <w:jc w:val="center"/>
        <w:rPr>
          <w:b/>
          <w:sz w:val="28"/>
          <w:szCs w:val="28"/>
        </w:rPr>
      </w:pPr>
      <w:r w:rsidRPr="004F3D38">
        <w:rPr>
          <w:b/>
          <w:sz w:val="28"/>
          <w:szCs w:val="28"/>
        </w:rPr>
        <w:t>No</w:t>
      </w:r>
      <w:r w:rsidR="00122A7F" w:rsidRPr="00187D66">
        <w:rPr>
          <w:b/>
          <w:sz w:val="28"/>
          <w:szCs w:val="28"/>
        </w:rPr>
        <w:t xml:space="preserve">drošinājuma Valsts aģentūra (turpmāk -Aģentūra) rīkotajai cenu aptaujai “Valstij piekritīgās mantas </w:t>
      </w:r>
      <w:r w:rsidR="00730FD4">
        <w:rPr>
          <w:b/>
          <w:sz w:val="28"/>
          <w:szCs w:val="28"/>
        </w:rPr>
        <w:t xml:space="preserve">- </w:t>
      </w:r>
      <w:r w:rsidR="00122A7F" w:rsidRPr="00187D66">
        <w:rPr>
          <w:b/>
          <w:sz w:val="28"/>
          <w:szCs w:val="28"/>
        </w:rPr>
        <w:t>VPM-</w:t>
      </w:r>
      <w:r w:rsidR="008A1071">
        <w:rPr>
          <w:b/>
          <w:sz w:val="28"/>
          <w:szCs w:val="28"/>
        </w:rPr>
        <w:t>815</w:t>
      </w:r>
      <w:r w:rsidR="002A5884">
        <w:rPr>
          <w:b/>
          <w:sz w:val="28"/>
          <w:szCs w:val="28"/>
        </w:rPr>
        <w:t xml:space="preserve"> </w:t>
      </w:r>
      <w:r w:rsidR="00A63659" w:rsidRPr="008221A9">
        <w:rPr>
          <w:b/>
          <w:sz w:val="28"/>
          <w:szCs w:val="28"/>
        </w:rPr>
        <w:t>automašīnu rezerves daļas</w:t>
      </w:r>
      <w:r w:rsidR="00A63659">
        <w:rPr>
          <w:b/>
          <w:sz w:val="28"/>
          <w:szCs w:val="28"/>
        </w:rPr>
        <w:t xml:space="preserve"> </w:t>
      </w:r>
      <w:r w:rsidR="000B1643">
        <w:rPr>
          <w:b/>
          <w:sz w:val="28"/>
          <w:szCs w:val="28"/>
        </w:rPr>
        <w:t>Ludzā</w:t>
      </w:r>
      <w:r w:rsidR="002A5884">
        <w:rPr>
          <w:b/>
          <w:sz w:val="28"/>
          <w:szCs w:val="28"/>
        </w:rPr>
        <w:t xml:space="preserve"> </w:t>
      </w:r>
      <w:r w:rsidR="00122A7F"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1874"/>
        <w:gridCol w:w="6662"/>
      </w:tblGrid>
      <w:tr w:rsidR="008A1071" w:rsidTr="000B1643">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0B1643">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1874" w:type="dxa"/>
            <w:tcBorders>
              <w:top w:val="single" w:sz="4" w:space="0" w:color="000000"/>
              <w:left w:val="single" w:sz="4" w:space="0" w:color="000000"/>
              <w:bottom w:val="single" w:sz="4" w:space="0" w:color="000000"/>
              <w:right w:val="single" w:sz="4" w:space="0" w:color="000000"/>
            </w:tcBorders>
          </w:tcPr>
          <w:p w:rsidR="008A1071" w:rsidRDefault="008A1071" w:rsidP="003D4584">
            <w:pPr>
              <w:spacing w:after="0" w:line="259" w:lineRule="auto"/>
              <w:ind w:left="0" w:right="0" w:firstLine="0"/>
              <w:jc w:val="left"/>
            </w:pPr>
            <w:r>
              <w:t>Dažādas automašīnu rezerves detaļas</w:t>
            </w:r>
          </w:p>
          <w:p w:rsidR="008A1071" w:rsidRDefault="008A1071" w:rsidP="003D4584">
            <w:pPr>
              <w:spacing w:after="0" w:line="259" w:lineRule="auto"/>
              <w:ind w:left="0" w:right="0" w:firstLine="0"/>
              <w:jc w:val="left"/>
              <w:rPr>
                <w:b/>
              </w:rPr>
            </w:pPr>
          </w:p>
          <w:p w:rsidR="008A1071" w:rsidRDefault="008A1071" w:rsidP="004379AB">
            <w:pPr>
              <w:spacing w:after="21" w:line="256" w:lineRule="auto"/>
            </w:pPr>
          </w:p>
          <w:p w:rsidR="008A1071" w:rsidRPr="00A63659" w:rsidRDefault="008A1071" w:rsidP="003D4584">
            <w:pPr>
              <w:spacing w:after="0" w:line="259" w:lineRule="auto"/>
              <w:ind w:left="0" w:right="0" w:firstLine="0"/>
              <w:jc w:val="left"/>
              <w:rPr>
                <w:b/>
              </w:rPr>
            </w:pPr>
          </w:p>
        </w:tc>
        <w:tc>
          <w:tcPr>
            <w:tcW w:w="6662" w:type="dxa"/>
            <w:tcBorders>
              <w:top w:val="single" w:sz="4" w:space="0" w:color="000000"/>
              <w:left w:val="single" w:sz="4" w:space="0" w:color="000000"/>
              <w:bottom w:val="single" w:sz="4" w:space="0" w:color="000000"/>
              <w:right w:val="single" w:sz="4" w:space="0" w:color="000000"/>
            </w:tcBorders>
          </w:tcPr>
          <w:p w:rsidR="00CE1DC3" w:rsidRDefault="00CE1DC3" w:rsidP="000B1643">
            <w:pPr>
              <w:pStyle w:val="ListParagraph"/>
              <w:numPr>
                <w:ilvl w:val="0"/>
                <w:numId w:val="4"/>
              </w:numPr>
              <w:spacing w:after="0" w:line="259" w:lineRule="auto"/>
              <w:ind w:right="0"/>
            </w:pPr>
            <w:r>
              <w:t>kvēlsveču</w:t>
            </w:r>
            <w:bookmarkStart w:id="0" w:name="_GoBack"/>
            <w:bookmarkEnd w:id="0"/>
            <w:r>
              <w:t xml:space="preserve"> releju kontroles modulis </w:t>
            </w:r>
            <w:proofErr w:type="spellStart"/>
            <w:r>
              <w:t>Hella</w:t>
            </w:r>
            <w:proofErr w:type="spellEnd"/>
            <w:r>
              <w:t xml:space="preserve"> - 1 gab.</w:t>
            </w:r>
          </w:p>
          <w:p w:rsidR="00CE1DC3" w:rsidRDefault="00CE1DC3" w:rsidP="000B1643">
            <w:pPr>
              <w:pStyle w:val="ListParagraph"/>
              <w:numPr>
                <w:ilvl w:val="0"/>
                <w:numId w:val="4"/>
              </w:numPr>
              <w:spacing w:after="0" w:line="259" w:lineRule="auto"/>
              <w:ind w:right="0"/>
            </w:pPr>
            <w:r>
              <w:t xml:space="preserve">logu tīrītāju relejs 24V </w:t>
            </w:r>
            <w:proofErr w:type="spellStart"/>
            <w:r>
              <w:t>Wiper</w:t>
            </w:r>
            <w:proofErr w:type="spellEnd"/>
            <w:r>
              <w:t xml:space="preserve"> </w:t>
            </w:r>
            <w:proofErr w:type="spellStart"/>
            <w:r>
              <w:t>relay</w:t>
            </w:r>
            <w:proofErr w:type="spellEnd"/>
            <w:r>
              <w:t xml:space="preserve"> </w:t>
            </w:r>
            <w:proofErr w:type="spellStart"/>
            <w:r>
              <w:t>Parts</w:t>
            </w:r>
            <w:proofErr w:type="spellEnd"/>
            <w:r>
              <w:t xml:space="preserve"> -1 gab.</w:t>
            </w:r>
          </w:p>
          <w:p w:rsidR="00CE1DC3" w:rsidRDefault="00CE1DC3" w:rsidP="000B1643">
            <w:pPr>
              <w:pStyle w:val="ListParagraph"/>
              <w:numPr>
                <w:ilvl w:val="0"/>
                <w:numId w:val="4"/>
              </w:numPr>
              <w:spacing w:after="0" w:line="259" w:lineRule="auto"/>
              <w:ind w:right="0"/>
            </w:pPr>
            <w:r>
              <w:t>pagriezienu relejs 24V (</w:t>
            </w:r>
            <w:proofErr w:type="spellStart"/>
            <w:r>
              <w:t>Mercedes</w:t>
            </w:r>
            <w:proofErr w:type="spellEnd"/>
            <w:r>
              <w:t xml:space="preserve"> Benz) – 1gab.</w:t>
            </w:r>
          </w:p>
          <w:p w:rsidR="00CE1DC3" w:rsidRDefault="00CE1DC3" w:rsidP="000B1643">
            <w:pPr>
              <w:pStyle w:val="ListParagraph"/>
              <w:numPr>
                <w:ilvl w:val="0"/>
                <w:numId w:val="4"/>
              </w:numPr>
              <w:spacing w:after="0" w:line="259" w:lineRule="auto"/>
              <w:ind w:right="0"/>
            </w:pPr>
            <w:r>
              <w:t>komforta vadības bloks Mercedes-Benz – 1gab.</w:t>
            </w:r>
          </w:p>
          <w:p w:rsidR="00CE1DC3" w:rsidRDefault="00CE1DC3" w:rsidP="000B1643">
            <w:pPr>
              <w:pStyle w:val="ListParagraph"/>
              <w:numPr>
                <w:ilvl w:val="0"/>
                <w:numId w:val="4"/>
              </w:numPr>
              <w:spacing w:after="0" w:line="259" w:lineRule="auto"/>
              <w:ind w:right="0"/>
            </w:pPr>
            <w:r>
              <w:t>signalizācijas vadības bloks (Mercedes-Benz) – 1gab.</w:t>
            </w:r>
          </w:p>
          <w:p w:rsidR="00CE1DC3" w:rsidRDefault="00CE1DC3" w:rsidP="000B1643">
            <w:pPr>
              <w:pStyle w:val="ListParagraph"/>
              <w:numPr>
                <w:ilvl w:val="0"/>
                <w:numId w:val="4"/>
              </w:numPr>
              <w:spacing w:after="0" w:line="259" w:lineRule="auto"/>
              <w:ind w:right="0"/>
            </w:pPr>
            <w:r>
              <w:t>degvielas sūkņa relejs 24V / 5A (Mercedes-Benz) – 1 gab.</w:t>
            </w:r>
          </w:p>
          <w:p w:rsidR="00CE1DC3" w:rsidRDefault="00CE1DC3" w:rsidP="000B1643">
            <w:pPr>
              <w:pStyle w:val="ListParagraph"/>
              <w:numPr>
                <w:ilvl w:val="0"/>
                <w:numId w:val="4"/>
              </w:numPr>
              <w:spacing w:after="0" w:line="259" w:lineRule="auto"/>
              <w:ind w:right="0"/>
            </w:pPr>
            <w:r>
              <w:t xml:space="preserve">gaisa plūsmas mērītājs transportlīdzeklim Mercedes-Benz – </w:t>
            </w:r>
            <w:r w:rsidR="000B1643">
              <w:t xml:space="preserve"> </w:t>
            </w:r>
            <w:r>
              <w:t>4 gab.</w:t>
            </w:r>
          </w:p>
          <w:p w:rsidR="00CE1DC3" w:rsidRDefault="00CE1DC3" w:rsidP="000B1643">
            <w:pPr>
              <w:pStyle w:val="ListParagraph"/>
              <w:numPr>
                <w:ilvl w:val="0"/>
                <w:numId w:val="4"/>
              </w:numPr>
              <w:spacing w:after="0" w:line="259" w:lineRule="auto"/>
              <w:ind w:right="0"/>
            </w:pPr>
            <w:r>
              <w:t>dzinēja vadības bloks Mercedes-Benz -1 gab.</w:t>
            </w:r>
          </w:p>
          <w:p w:rsidR="00CE1DC3" w:rsidRDefault="00CE1DC3" w:rsidP="000B1643">
            <w:pPr>
              <w:pStyle w:val="ListParagraph"/>
              <w:numPr>
                <w:ilvl w:val="0"/>
                <w:numId w:val="4"/>
              </w:numPr>
              <w:spacing w:after="0" w:line="259" w:lineRule="auto"/>
              <w:ind w:right="0"/>
            </w:pPr>
            <w:r>
              <w:t>bremžu vadības bloks Mercedes-Benz- 1gab.</w:t>
            </w:r>
          </w:p>
          <w:p w:rsidR="00CE1DC3" w:rsidRDefault="00CE1DC3" w:rsidP="000B1643">
            <w:pPr>
              <w:pStyle w:val="ListParagraph"/>
              <w:numPr>
                <w:ilvl w:val="0"/>
                <w:numId w:val="4"/>
              </w:numPr>
              <w:spacing w:after="0" w:line="259" w:lineRule="auto"/>
              <w:ind w:right="0"/>
            </w:pPr>
            <w:r>
              <w:t>antenas pastiprinātājs 17857000292725-3 Mercedes-Benz -</w:t>
            </w:r>
            <w:r w:rsidR="000B1643">
              <w:t xml:space="preserve">    </w:t>
            </w:r>
            <w:r>
              <w:t>1 gab.</w:t>
            </w:r>
          </w:p>
          <w:p w:rsidR="00CE1DC3" w:rsidRDefault="00CE1DC3" w:rsidP="000B1643">
            <w:pPr>
              <w:pStyle w:val="ListParagraph"/>
              <w:numPr>
                <w:ilvl w:val="0"/>
                <w:numId w:val="4"/>
              </w:numPr>
              <w:spacing w:after="0" w:line="259" w:lineRule="auto"/>
              <w:ind w:right="0"/>
            </w:pPr>
            <w:r>
              <w:t>gaisa spilvenu vadības bloks Mercedes-Benz- 4 gab.</w:t>
            </w:r>
          </w:p>
          <w:p w:rsidR="00CE1DC3" w:rsidRDefault="00CE1DC3" w:rsidP="000B1643">
            <w:pPr>
              <w:pStyle w:val="ListParagraph"/>
              <w:numPr>
                <w:ilvl w:val="0"/>
                <w:numId w:val="4"/>
              </w:numPr>
              <w:spacing w:after="0" w:line="259" w:lineRule="auto"/>
              <w:ind w:right="0"/>
            </w:pPr>
            <w:r>
              <w:t>gaismas modulis Mercedes-Benz- 1 gab.</w:t>
            </w:r>
          </w:p>
          <w:p w:rsidR="00CE1DC3" w:rsidRDefault="00CE1DC3" w:rsidP="000B1643">
            <w:pPr>
              <w:pStyle w:val="ListParagraph"/>
              <w:numPr>
                <w:ilvl w:val="0"/>
                <w:numId w:val="4"/>
              </w:numPr>
              <w:spacing w:after="0" w:line="259" w:lineRule="auto"/>
              <w:ind w:right="0"/>
            </w:pPr>
            <w:r>
              <w:t>gaisa spilvenu vadības bloks Mercedes-Benz- 1 gab.</w:t>
            </w:r>
          </w:p>
          <w:p w:rsidR="00CE1DC3" w:rsidRDefault="000B1643" w:rsidP="000B1643">
            <w:pPr>
              <w:pStyle w:val="ListParagraph"/>
              <w:numPr>
                <w:ilvl w:val="0"/>
                <w:numId w:val="4"/>
              </w:numPr>
              <w:spacing w:after="0" w:line="259" w:lineRule="auto"/>
              <w:ind w:right="0"/>
            </w:pPr>
            <w:r>
              <w:t>d</w:t>
            </w:r>
            <w:r w:rsidR="00CE1DC3">
              <w:t>rošinātāju kārbas paneļa releja moduļi (komplekts) Mercedes-Benz- 1 gab.</w:t>
            </w:r>
          </w:p>
          <w:p w:rsidR="00CE1DC3" w:rsidRDefault="00CE1DC3" w:rsidP="000B1643">
            <w:pPr>
              <w:pStyle w:val="ListParagraph"/>
              <w:numPr>
                <w:ilvl w:val="0"/>
                <w:numId w:val="4"/>
              </w:numPr>
              <w:spacing w:after="0" w:line="259" w:lineRule="auto"/>
              <w:ind w:right="0"/>
            </w:pPr>
            <w:r>
              <w:t>dzinēja vadības bloks Mercedes-Benz – 1 gab.</w:t>
            </w:r>
          </w:p>
          <w:p w:rsidR="00CE1DC3" w:rsidRDefault="00CE1DC3" w:rsidP="000B1643">
            <w:pPr>
              <w:pStyle w:val="ListParagraph"/>
              <w:numPr>
                <w:ilvl w:val="0"/>
                <w:numId w:val="4"/>
              </w:numPr>
              <w:spacing w:after="0" w:line="259" w:lineRule="auto"/>
              <w:ind w:right="0"/>
            </w:pPr>
            <w:r>
              <w:t>Mercedes-Benz ABS vadības bloks- 1 gab.</w:t>
            </w:r>
          </w:p>
          <w:p w:rsidR="00CE1DC3" w:rsidRDefault="00CE1DC3" w:rsidP="00A63659">
            <w:pPr>
              <w:spacing w:after="0" w:line="259" w:lineRule="auto"/>
              <w:ind w:left="0" w:right="0" w:firstLine="0"/>
            </w:pPr>
          </w:p>
          <w:p w:rsidR="00CE1DC3" w:rsidRDefault="00CE1DC3" w:rsidP="00A63659">
            <w:pPr>
              <w:spacing w:after="0" w:line="259" w:lineRule="auto"/>
              <w:ind w:left="0" w:right="0" w:firstLine="0"/>
            </w:pPr>
          </w:p>
          <w:p w:rsidR="008A1071" w:rsidRPr="002A5884" w:rsidRDefault="008A1071" w:rsidP="00A63659">
            <w:pPr>
              <w:spacing w:after="0" w:line="259" w:lineRule="auto"/>
              <w:ind w:left="0" w:right="0" w:firstLine="0"/>
            </w:pPr>
          </w:p>
        </w:tc>
      </w:tr>
      <w:tr w:rsidR="000B1643" w:rsidTr="000B1643">
        <w:trPr>
          <w:trHeight w:val="569"/>
        </w:trPr>
        <w:tc>
          <w:tcPr>
            <w:tcW w:w="514" w:type="dxa"/>
            <w:tcBorders>
              <w:top w:val="single" w:sz="4" w:space="0" w:color="000000"/>
              <w:left w:val="single" w:sz="4" w:space="0" w:color="000000"/>
              <w:bottom w:val="single" w:sz="4" w:space="0" w:color="auto"/>
              <w:right w:val="single" w:sz="4" w:space="0" w:color="000000"/>
            </w:tcBorders>
          </w:tcPr>
          <w:p w:rsidR="000B1643" w:rsidRDefault="000B1643">
            <w:pPr>
              <w:spacing w:after="0" w:line="259" w:lineRule="auto"/>
              <w:ind w:left="43" w:right="0" w:firstLine="0"/>
              <w:jc w:val="left"/>
            </w:pPr>
            <w:r>
              <w:lastRenderedPageBreak/>
              <w:t>2.</w:t>
            </w:r>
          </w:p>
        </w:tc>
        <w:tc>
          <w:tcPr>
            <w:tcW w:w="1874" w:type="dxa"/>
            <w:tcBorders>
              <w:top w:val="single" w:sz="4" w:space="0" w:color="000000"/>
              <w:left w:val="single" w:sz="4" w:space="0" w:color="000000"/>
              <w:bottom w:val="single" w:sz="4" w:space="0" w:color="auto"/>
              <w:right w:val="single" w:sz="4" w:space="0" w:color="000000"/>
            </w:tcBorders>
          </w:tcPr>
          <w:p w:rsidR="000B1643" w:rsidRDefault="000B1643" w:rsidP="003D4584">
            <w:pPr>
              <w:spacing w:after="0" w:line="259" w:lineRule="auto"/>
              <w:ind w:left="0" w:right="0" w:firstLine="0"/>
              <w:jc w:val="left"/>
            </w:pPr>
            <w:r>
              <w:t>kravas vilcējs bez kabīnes</w:t>
            </w:r>
            <w:r w:rsidR="004138EF">
              <w:t xml:space="preserve"> </w:t>
            </w:r>
            <w:r>
              <w:t xml:space="preserve"> </w:t>
            </w:r>
            <w:r w:rsidR="004138EF">
              <w:t>(</w:t>
            </w:r>
            <w:r>
              <w:t xml:space="preserve">ar nokomplektētu kompresijas aizdedzes motoru 345 </w:t>
            </w:r>
            <w:proofErr w:type="spellStart"/>
            <w:r>
              <w:t>kw</w:t>
            </w:r>
            <w:proofErr w:type="spellEnd"/>
            <w:r>
              <w:t>, darba tilpumu 12,8 litri, ar priekšējo tiltu, ātrumkārbu un atvienotu aizmugurējo šasijas daļu</w:t>
            </w:r>
            <w:r w:rsidR="004138EF">
              <w:t>)</w:t>
            </w:r>
          </w:p>
        </w:tc>
        <w:tc>
          <w:tcPr>
            <w:tcW w:w="6662" w:type="dxa"/>
            <w:tcBorders>
              <w:top w:val="single" w:sz="4" w:space="0" w:color="000000"/>
              <w:left w:val="single" w:sz="4" w:space="0" w:color="000000"/>
              <w:bottom w:val="single" w:sz="4" w:space="0" w:color="auto"/>
              <w:right w:val="single" w:sz="4" w:space="0" w:color="000000"/>
            </w:tcBorders>
          </w:tcPr>
          <w:p w:rsidR="000B1643" w:rsidRDefault="000B1643" w:rsidP="000B1643">
            <w:pPr>
              <w:spacing w:after="0" w:line="259" w:lineRule="auto"/>
              <w:ind w:left="0" w:right="0" w:firstLine="0"/>
              <w:jc w:val="center"/>
            </w:pPr>
          </w:p>
          <w:p w:rsidR="000B1643" w:rsidRDefault="000B1643" w:rsidP="000B1643">
            <w:pPr>
              <w:spacing w:after="0" w:line="259" w:lineRule="auto"/>
              <w:ind w:left="0" w:right="0" w:firstLine="0"/>
              <w:jc w:val="center"/>
            </w:pPr>
          </w:p>
          <w:p w:rsidR="000B1643" w:rsidRDefault="000B1643" w:rsidP="000B1643">
            <w:pPr>
              <w:spacing w:after="0" w:line="259" w:lineRule="auto"/>
              <w:ind w:left="0" w:right="0" w:firstLine="0"/>
              <w:jc w:val="center"/>
            </w:pPr>
            <w:r>
              <w:t>1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0B1643">
        <w:t>Liepājas</w:t>
      </w:r>
      <w:r>
        <w:t xml:space="preserve"> iela </w:t>
      </w:r>
      <w:r w:rsidR="000B1643">
        <w:t>2b</w:t>
      </w:r>
      <w:r>
        <w:t xml:space="preserve">, </w:t>
      </w:r>
      <w:r w:rsidR="004514DE">
        <w:t>R</w:t>
      </w:r>
      <w:r w:rsidR="000B1643">
        <w:t>īga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3D4584" w:rsidRPr="009C36C5">
        <w:rPr>
          <w:szCs w:val="24"/>
        </w:rPr>
        <w:t>1</w:t>
      </w:r>
      <w:r w:rsidR="005F5164">
        <w:rPr>
          <w:szCs w:val="24"/>
        </w:rPr>
        <w:t>8</w:t>
      </w:r>
      <w:r w:rsidRPr="009C36C5">
        <w:rPr>
          <w:szCs w:val="24"/>
        </w:rPr>
        <w:t xml:space="preserve">. </w:t>
      </w:r>
      <w:r w:rsidR="000B1643">
        <w:rPr>
          <w:szCs w:val="24"/>
        </w:rPr>
        <w:t>martam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0B1643">
        <w:rPr>
          <w:szCs w:val="24"/>
        </w:rPr>
        <w:t>7894778</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lastRenderedPageBreak/>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0B1643">
        <w:rPr>
          <w:b/>
        </w:rPr>
        <w:t>1</w:t>
      </w:r>
      <w:r w:rsidR="005F5164">
        <w:rPr>
          <w:b/>
        </w:rPr>
        <w:t>9</w:t>
      </w:r>
      <w:r>
        <w:rPr>
          <w:b/>
        </w:rPr>
        <w:t xml:space="preserve">. </w:t>
      </w:r>
      <w:r w:rsidR="000B1643">
        <w:rPr>
          <w:b/>
        </w:rPr>
        <w:t>martam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lastRenderedPageBreak/>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4138EF"/>
    <w:rsid w:val="004379AB"/>
    <w:rsid w:val="004514DE"/>
    <w:rsid w:val="004F3D38"/>
    <w:rsid w:val="005D2B3D"/>
    <w:rsid w:val="005F5164"/>
    <w:rsid w:val="00730FD4"/>
    <w:rsid w:val="007646F4"/>
    <w:rsid w:val="008A1071"/>
    <w:rsid w:val="008E4FAC"/>
    <w:rsid w:val="0091590B"/>
    <w:rsid w:val="009245C0"/>
    <w:rsid w:val="009C36C5"/>
    <w:rsid w:val="00A340C2"/>
    <w:rsid w:val="00A63659"/>
    <w:rsid w:val="00AB374C"/>
    <w:rsid w:val="00BB43B6"/>
    <w:rsid w:val="00CB620D"/>
    <w:rsid w:val="00CE1DC3"/>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4F77"/>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4</cp:revision>
  <dcterms:created xsi:type="dcterms:W3CDTF">2026-03-09T08:36:00Z</dcterms:created>
  <dcterms:modified xsi:type="dcterms:W3CDTF">2026-03-09T09:14:00Z</dcterms:modified>
</cp:coreProperties>
</file>